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E41C0C" w:rsidRPr="00E41C0C" w:rsidRDefault="00E41C0C" w:rsidP="00E41C0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Постановлением администрации</w:t>
      </w:r>
    </w:p>
    <w:p w:rsidR="00E41C0C" w:rsidRPr="00E41C0C" w:rsidRDefault="00E41C0C" w:rsidP="00E41C0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СП 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1C0C" w:rsidRPr="00E41C0C" w:rsidRDefault="00E41C0C" w:rsidP="00E41C0C">
      <w:pPr>
        <w:spacing w:after="0" w:line="276" w:lineRule="auto"/>
        <w:ind w:firstLine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№ </w:t>
      </w:r>
      <w:r w:rsidR="00652EAD">
        <w:rPr>
          <w:rFonts w:ascii="Times New Roman" w:eastAsia="Calibri" w:hAnsi="Times New Roman" w:cs="Times New Roman"/>
          <w:sz w:val="24"/>
          <w:szCs w:val="24"/>
        </w:rPr>
        <w:t>36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от   </w:t>
      </w:r>
      <w:r w:rsidR="00652EAD">
        <w:rPr>
          <w:rFonts w:ascii="Times New Roman" w:eastAsia="Calibri" w:hAnsi="Times New Roman" w:cs="Times New Roman"/>
          <w:sz w:val="24"/>
          <w:szCs w:val="24"/>
        </w:rPr>
        <w:t>18</w:t>
      </w:r>
      <w:r w:rsidRPr="00E41C0C">
        <w:rPr>
          <w:rFonts w:ascii="Times New Roman" w:eastAsia="Calibri" w:hAnsi="Times New Roman" w:cs="Times New Roman"/>
          <w:sz w:val="24"/>
          <w:szCs w:val="24"/>
        </w:rPr>
        <w:t>.</w:t>
      </w:r>
      <w:r w:rsidR="00652EAD">
        <w:rPr>
          <w:rFonts w:ascii="Times New Roman" w:eastAsia="Calibri" w:hAnsi="Times New Roman" w:cs="Times New Roman"/>
          <w:sz w:val="24"/>
          <w:szCs w:val="24"/>
        </w:rPr>
        <w:t>10</w:t>
      </w:r>
      <w:r w:rsidR="00394487">
        <w:rPr>
          <w:rFonts w:ascii="Times New Roman" w:eastAsia="Calibri" w:hAnsi="Times New Roman" w:cs="Times New Roman"/>
          <w:sz w:val="24"/>
          <w:szCs w:val="24"/>
        </w:rPr>
        <w:t>.2017</w:t>
      </w:r>
      <w:r w:rsidRPr="00E41C0C">
        <w:rPr>
          <w:rFonts w:ascii="Times New Roman" w:eastAsia="Calibri" w:hAnsi="Times New Roman" w:cs="Times New Roman"/>
          <w:sz w:val="24"/>
          <w:szCs w:val="24"/>
        </w:rPr>
        <w:t>года</w:t>
      </w:r>
    </w:p>
    <w:p w:rsidR="00E41C0C" w:rsidRDefault="00E41C0C" w:rsidP="00E41C0C">
      <w:pPr>
        <w:spacing w:after="200" w:line="240" w:lineRule="auto"/>
        <w:ind w:left="627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1E34" w:rsidRPr="00E41C0C" w:rsidRDefault="00B11E34" w:rsidP="00E41C0C">
      <w:pPr>
        <w:spacing w:after="200" w:line="240" w:lineRule="auto"/>
        <w:ind w:left="627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Муниципальная программа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комплексного развития систем транспортной инфраструктуры на территории сельского поселения «</w:t>
      </w:r>
      <w:r w:rsidR="00652EAD" w:rsidRPr="00652EAD">
        <w:rPr>
          <w:rFonts w:ascii="Times New Roman" w:eastAsia="Calibri" w:hAnsi="Times New Roman" w:cs="Times New Roman"/>
          <w:b/>
          <w:sz w:val="28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/>
          <w:sz w:val="28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E41C0C" w:rsidRPr="00E41C0C" w:rsidRDefault="00E41C0C" w:rsidP="00E41C0C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на 2017 – 2025 годы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</w:t>
      </w:r>
      <w:r w:rsidR="00394487">
        <w:rPr>
          <w:rFonts w:ascii="Times New Roman" w:eastAsia="Calibri" w:hAnsi="Times New Roman" w:cs="Times New Roman"/>
          <w:b/>
          <w:sz w:val="24"/>
          <w:szCs w:val="24"/>
        </w:rPr>
        <w:t xml:space="preserve">ы 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t>комплексного развитие систем транспортной инфраструктуры на территории сельского поселения «</w:t>
      </w:r>
      <w:r w:rsidR="00652EAD" w:rsidRPr="00652EAD">
        <w:rPr>
          <w:rFonts w:ascii="Times New Roman" w:eastAsia="Calibri" w:hAnsi="Times New Roman" w:cs="Times New Roman"/>
          <w:b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на 2017-2025 годы.</w:t>
      </w:r>
    </w:p>
    <w:p w:rsidR="00E41C0C" w:rsidRPr="00E41C0C" w:rsidRDefault="00E41C0C" w:rsidP="00E41C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166314947" w:colFirst="0" w:colLast="0"/>
      <w:r w:rsidRPr="00E41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E41C0C" w:rsidRPr="00E41C0C" w:rsidTr="0015030F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 «комплексного развитие систем транспортной инфраструктуры на территории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на 2017-2025 годы (далее – Программа)</w:t>
            </w:r>
          </w:p>
        </w:tc>
      </w:tr>
      <w:tr w:rsidR="00E41C0C" w:rsidRPr="00E41C0C" w:rsidTr="0015030F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Федеральный закон от 06 октября 2003 года </w:t>
            </w:r>
            <w:hyperlink r:id="rId6" w:history="1">
              <w:r w:rsidRPr="00E41C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131-ФЗ</w:t>
              </w:r>
            </w:hyperlink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 поручения Президента Российской Федерации от 17 марта 2011 года Пр-701;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постановление </w:t>
            </w: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Правительства Российской Федерации от 25  декабря 2015 года N 1440</w:t>
            </w:r>
          </w:p>
        </w:tc>
      </w:tr>
      <w:tr w:rsidR="00E41C0C" w:rsidRPr="00E41C0C" w:rsidTr="0015030F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реализацией Программы осуществляет Администрация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территории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Повышение надежности системы транспортной  инфраструктуры;</w:t>
            </w:r>
          </w:p>
          <w:p w:rsidR="00E41C0C" w:rsidRPr="00E41C0C" w:rsidRDefault="00E41C0C" w:rsidP="00652EAD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Обеспечение более комфортных условий проживания населения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безопасности дорожного движения</w:t>
            </w:r>
          </w:p>
        </w:tc>
      </w:tr>
      <w:tr w:rsidR="00E41C0C" w:rsidRPr="00E41C0C" w:rsidTr="0015030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– 2025  годы</w:t>
            </w:r>
          </w:p>
        </w:tc>
      </w:tr>
      <w:tr w:rsidR="00E41C0C" w:rsidRPr="00E41C0C" w:rsidTr="0015030F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E41C0C" w:rsidRPr="00E41C0C" w:rsidRDefault="00B31E1F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средства районного</w:t>
            </w:r>
            <w:r w:rsidR="00E41C0C"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бюджета: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B3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- 2025г</w:t>
            </w: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</w:t>
            </w:r>
            <w:r w:rsidR="007F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1407,6</w:t>
            </w: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  <w:p w:rsidR="00E41C0C" w:rsidRPr="00E41C0C" w:rsidRDefault="00B31E1F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районного</w:t>
            </w:r>
            <w:r w:rsidR="00E41C0C"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2017-2025 годы уточняются при формировании бюджета на очередной финансовый год.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средства областного бюджета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C0C" w:rsidRPr="00E41C0C" w:rsidTr="0015030F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программы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содержание автомобильных дорог.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программы направлены на развитие объектов транспортной инфраструктуры по направлениям: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мероприятия по развитию транспортной инфраструктуры по видам транспорта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мероприятия по развитию инфраструктуры пешеходного движения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в) комплексные мероприятия по организации дорожного движения, в том числе мероприятия по повышению безопасности дорожного движения;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мероприятия по снижению негативного воздействия транспорта на окружающую среду и здоровье населения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 Содержание проблемы и обоснование ее решения программными методами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7F65D1">
      <w:pPr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Одним из осн</w:t>
      </w:r>
      <w:r w:rsidR="00C35E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овополагающих условий развития </w:t>
      </w: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поселения является комплексное развитие систем жизнеобеспечения сельского поселения «</w:t>
      </w:r>
      <w:r w:rsidR="00652EAD" w:rsidRPr="00652E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».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E41C0C" w:rsidRPr="00E41C0C" w:rsidRDefault="00E41C0C" w:rsidP="007F65D1">
      <w:pPr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E41C0C" w:rsidRPr="00E41C0C" w:rsidRDefault="00E41C0C" w:rsidP="007F65D1">
      <w:pPr>
        <w:numPr>
          <w:ilvl w:val="0"/>
          <w:numId w:val="1"/>
        </w:numPr>
        <w:tabs>
          <w:tab w:val="num" w:pos="1080"/>
        </w:tabs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демографическое развитие;</w:t>
      </w:r>
    </w:p>
    <w:p w:rsidR="00E41C0C" w:rsidRPr="00E41C0C" w:rsidRDefault="00E41C0C" w:rsidP="007F65D1">
      <w:pPr>
        <w:numPr>
          <w:ilvl w:val="0"/>
          <w:numId w:val="1"/>
        </w:numPr>
        <w:tabs>
          <w:tab w:val="num" w:pos="1080"/>
        </w:tabs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состояние транспортной инфраструктуры;</w:t>
      </w:r>
    </w:p>
    <w:p w:rsidR="00E41C0C" w:rsidRPr="00E41C0C" w:rsidRDefault="00E41C0C" w:rsidP="007F65D1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 Демографическое развитие сельского поселения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7F65D1">
      <w:pPr>
        <w:spacing w:after="20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Calibri" w:eastAsia="Calibri" w:hAnsi="Calibri" w:cs="Times New Roman"/>
        </w:rPr>
        <w:tab/>
      </w:r>
      <w:r w:rsidRPr="00E41C0C">
        <w:rPr>
          <w:rFonts w:ascii="Times New Roman" w:eastAsia="Calibri" w:hAnsi="Times New Roman" w:cs="Times New Roman"/>
          <w:bCs/>
          <w:sz w:val="24"/>
          <w:szCs w:val="24"/>
        </w:rPr>
        <w:t>В  соответствии  с  Федеральным  законом  от  06.10.2003 года  №131-ФЗ  «Об  общих  принципах  организации  местного  самоуправления    в  Российской  Федерации», законом Калужской области от 28.12.2004 года № 7-ОЗ муниципальное образование сельское поселение «</w:t>
      </w:r>
      <w:r w:rsidR="00652EAD" w:rsidRPr="00652EAD">
        <w:rPr>
          <w:rFonts w:ascii="Times New Roman" w:eastAsia="Calibri" w:hAnsi="Times New Roman" w:cs="Times New Roman"/>
          <w:bCs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Cs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Cs/>
          <w:sz w:val="24"/>
          <w:szCs w:val="24"/>
        </w:rPr>
        <w:t>» наделено статусом сельского поселения. А</w:t>
      </w:r>
      <w:r w:rsidRPr="00E41C0C">
        <w:rPr>
          <w:rFonts w:ascii="Times New Roman" w:eastAsia="Calibri" w:hAnsi="Times New Roman" w:cs="Times New Roman"/>
          <w:sz w:val="24"/>
          <w:szCs w:val="24"/>
        </w:rPr>
        <w:t>дминистративным центром  сельского поселения 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="00652EAD">
        <w:rPr>
          <w:rFonts w:ascii="Times New Roman" w:eastAsia="Calibri" w:hAnsi="Times New Roman" w:cs="Times New Roman"/>
          <w:sz w:val="24"/>
          <w:szCs w:val="24"/>
        </w:rPr>
        <w:t xml:space="preserve">»  является д. </w:t>
      </w:r>
      <w:proofErr w:type="spellStart"/>
      <w:r w:rsid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="00C35E94">
        <w:rPr>
          <w:rFonts w:ascii="Times New Roman" w:eastAsia="Calibri" w:hAnsi="Times New Roman" w:cs="Times New Roman"/>
          <w:sz w:val="24"/>
          <w:szCs w:val="24"/>
        </w:rPr>
        <w:t>.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Границы  территории сельского поселения установлены законом Калужской области от 28.12.2004 года № 7-ОЗ.</w:t>
      </w:r>
    </w:p>
    <w:p w:rsidR="00C35E94" w:rsidRPr="00565F4C" w:rsidRDefault="00565F4C" w:rsidP="007F65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Сельское поселение «</w:t>
      </w:r>
      <w:r w:rsidR="00652EAD" w:rsidRPr="00652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652EAD" w:rsidRPr="00652EA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является административно- территориальным </w:t>
      </w:r>
      <w:proofErr w:type="gram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образованием</w:t>
      </w:r>
      <w:proofErr w:type="gram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входящим в состав </w:t>
      </w:r>
      <w:proofErr w:type="spell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Малоярославецкого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Сельское поселение «</w:t>
      </w:r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расположено в северной</w:t>
      </w: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</w:t>
      </w:r>
      <w:proofErr w:type="spell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Малоярославецкого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Калужской области. Центр сельского поселения,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находится в 7 км  к западу от г</w:t>
      </w:r>
      <w:proofErr w:type="gram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алоярославец и 70 км от г.Калуги. По территории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сольского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проходит автодорога федерального значения общего пользования Москва-Малоярославец-Рославль. В состав сельского поселения «</w:t>
      </w:r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входят следующие населенные пункты: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Заболотное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Адлеровка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Алехново,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Бородухино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Величково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Дубровка, деревня Костино, деревня Панское,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Подольное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Черкасово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Терентьево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Трубицино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Чуркино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Шубинка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село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Карижа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поселок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Игнатьевское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Площадь сельского населения 7689 га, численность населения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1260 человек.</w:t>
      </w:r>
    </w:p>
    <w:p w:rsidR="00565F4C" w:rsidRPr="00565F4C" w:rsidRDefault="00565F4C" w:rsidP="007F65D1">
      <w:pPr>
        <w:suppressAutoHyphens/>
        <w:spacing w:after="200" w:line="276" w:lineRule="auto"/>
        <w:ind w:left="561" w:right="-272" w:hanging="561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ab/>
      </w: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ab/>
        <w:t xml:space="preserve">Климат  поселения характеризуется как переходный от морского к </w:t>
      </w:r>
      <w:proofErr w:type="gramStart"/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континентальному</w:t>
      </w:r>
      <w:proofErr w:type="gramEnd"/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и формируется под влиянием влажных западных морских и </w:t>
      </w:r>
      <w:r w:rsidR="00E33B40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сухих восточных континентальных воздушных масс.</w:t>
      </w: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br/>
        <w:t>Климат поселения относительно благоприятен для осуществления любых видов хозяйственной деятельности, в том числе, строительства, рекреации.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населения на 01 января 2017 года составляет -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1260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поселения занимает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7689</w:t>
      </w:r>
      <w:r w:rsidR="00F63B1A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Общая протяженность дорог местного значения – </w:t>
      </w:r>
      <w:r w:rsidR="00E33B40">
        <w:rPr>
          <w:rFonts w:ascii="Times New Roman" w:eastAsia="Calibri" w:hAnsi="Times New Roman" w:cs="Times New Roman"/>
          <w:sz w:val="24"/>
          <w:szCs w:val="24"/>
        </w:rPr>
        <w:t>10,1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км.   </w:t>
      </w:r>
    </w:p>
    <w:p w:rsidR="00E41C0C" w:rsidRP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ab/>
        <w:t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сельского поселения «</w:t>
      </w:r>
      <w:r w:rsidR="00E33B40" w:rsidRPr="00E33B40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E33B40" w:rsidRPr="00E33B40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» характеризуется следующими показателями:      </w:t>
      </w:r>
    </w:p>
    <w:p w:rsidR="00E41C0C" w:rsidRPr="00E41C0C" w:rsidRDefault="00E41C0C" w:rsidP="008523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53" w:type="pct"/>
        <w:tblLook w:val="00A0"/>
      </w:tblPr>
      <w:tblGrid>
        <w:gridCol w:w="3634"/>
        <w:gridCol w:w="1091"/>
        <w:gridCol w:w="1004"/>
        <w:gridCol w:w="1138"/>
        <w:gridCol w:w="1848"/>
      </w:tblGrid>
      <w:tr w:rsidR="00E41C0C" w:rsidRPr="00E41C0C" w:rsidTr="00852388">
        <w:trPr>
          <w:trHeight w:val="24"/>
        </w:trPr>
        <w:tc>
          <w:tcPr>
            <w:tcW w:w="2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20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852388" w:rsidRPr="00E41C0C" w:rsidTr="00852388">
        <w:trPr>
          <w:trHeight w:val="24"/>
        </w:trPr>
        <w:tc>
          <w:tcPr>
            <w:tcW w:w="20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2014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2015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2016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2017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41C0C" w:rsidRPr="00E41C0C" w:rsidTr="00852388">
        <w:trPr>
          <w:trHeight w:val="24"/>
        </w:trPr>
        <w:tc>
          <w:tcPr>
            <w:tcW w:w="2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0C" w:rsidRPr="00E41C0C" w:rsidRDefault="00E41C0C" w:rsidP="00BA1164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Численность населения сельского  поселения «</w:t>
            </w:r>
            <w:r w:rsidR="00BA1164" w:rsidRPr="00BA1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BA1164" w:rsidRPr="00BA1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человек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1260</w:t>
            </w:r>
          </w:p>
        </w:tc>
      </w:tr>
    </w:tbl>
    <w:p w:rsidR="00E41C0C" w:rsidRPr="00E41C0C" w:rsidRDefault="00E41C0C" w:rsidP="008523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1C0C" w:rsidRDefault="00E41C0C" w:rsidP="00E41C0C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52388" w:rsidRPr="00E41C0C" w:rsidRDefault="00852388" w:rsidP="00E41C0C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Внешний транспорт.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7F65D1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Внешний транспорт на территории поселения представлен одним видом – автомобильным. В населенных пунктах внешний транспорт не имеет больших объемов. </w:t>
      </w:r>
    </w:p>
    <w:p w:rsid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 </w:t>
      </w:r>
    </w:p>
    <w:p w:rsidR="00BA1164" w:rsidRDefault="00BA1164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1164" w:rsidRPr="00E41C0C" w:rsidRDefault="00BA1164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7F65D1">
      <w:pPr>
        <w:spacing w:after="0" w:line="276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Общественный транспорт.</w:t>
      </w:r>
    </w:p>
    <w:p w:rsidR="00E41C0C" w:rsidRPr="00E41C0C" w:rsidRDefault="00E41C0C" w:rsidP="007F65D1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Транспорт - важнейшая составная часть инфраструктуры поселения, удовлетворяющая 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 осуществляющий общедоступное транспортное обслуживание населения. Устойчивое и 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 </w:t>
      </w:r>
    </w:p>
    <w:p w:rsidR="00E41C0C" w:rsidRPr="00E41C0C" w:rsidRDefault="00E41C0C" w:rsidP="00E41C0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Основным видом пассажирского транспорта между поселением и районным центром  являются автобус и автомобили, находящиеся в личном пользовании. </w:t>
      </w:r>
    </w:p>
    <w:p w:rsidR="00E41C0C" w:rsidRP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На территории поселения нет действующего  пассажирского автотранспортного маршрута. </w:t>
      </w:r>
      <w:r w:rsidRPr="00E41C0C">
        <w:rPr>
          <w:rFonts w:ascii="Times New Roman" w:eastAsia="Calibri" w:hAnsi="Times New Roman" w:cs="Times New Roman"/>
          <w:sz w:val="24"/>
          <w:szCs w:val="24"/>
        </w:rPr>
        <w:t>Большинство трудовых передвижений в поселении приходится</w:t>
      </w:r>
      <w:r w:rsidR="00C35E94">
        <w:rPr>
          <w:rFonts w:ascii="Times New Roman" w:eastAsia="Calibri" w:hAnsi="Times New Roman" w:cs="Times New Roman"/>
          <w:sz w:val="24"/>
          <w:szCs w:val="24"/>
        </w:rPr>
        <w:t xml:space="preserve"> на личный  автотранспорт и 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пешеходные сообщения. </w:t>
      </w:r>
      <w:r w:rsidR="00852388">
        <w:rPr>
          <w:rFonts w:ascii="Times New Roman" w:eastAsia="Calibri" w:hAnsi="Times New Roman" w:cs="Times New Roman"/>
          <w:sz w:val="24"/>
          <w:szCs w:val="24"/>
        </w:rPr>
        <w:br/>
      </w:r>
    </w:p>
    <w:p w:rsidR="00E41C0C" w:rsidRPr="007F65D1" w:rsidRDefault="007F65D1" w:rsidP="007F65D1">
      <w:pPr>
        <w:pStyle w:val="a3"/>
        <w:spacing w:after="200" w:line="276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E41C0C" w:rsidRPr="007F65D1">
        <w:rPr>
          <w:rFonts w:ascii="Times New Roman" w:eastAsia="Calibri" w:hAnsi="Times New Roman" w:cs="Times New Roman"/>
          <w:b/>
          <w:sz w:val="24"/>
          <w:szCs w:val="24"/>
        </w:rPr>
        <w:t>Характеристика улично-дорожной сети  сельского поселения «</w:t>
      </w:r>
      <w:r w:rsidR="00BA1164" w:rsidRPr="007F65D1">
        <w:rPr>
          <w:rFonts w:ascii="Times New Roman" w:eastAsia="Calibri" w:hAnsi="Times New Roman" w:cs="Times New Roman"/>
          <w:b/>
          <w:sz w:val="24"/>
          <w:szCs w:val="24"/>
        </w:rPr>
        <w:t xml:space="preserve">Деревня </w:t>
      </w:r>
      <w:proofErr w:type="spellStart"/>
      <w:r w:rsidR="00BA1164" w:rsidRPr="007F65D1">
        <w:rPr>
          <w:rFonts w:ascii="Times New Roman" w:eastAsia="Calibri" w:hAnsi="Times New Roman" w:cs="Times New Roman"/>
          <w:b/>
          <w:sz w:val="24"/>
          <w:szCs w:val="24"/>
        </w:rPr>
        <w:t>Шумятино</w:t>
      </w:r>
      <w:proofErr w:type="spellEnd"/>
      <w:r w:rsidR="00E41C0C" w:rsidRPr="007F65D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41C0C" w:rsidRPr="00E41C0C" w:rsidRDefault="00E41C0C" w:rsidP="00E41C0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Дорожно-транспортная сеть поселения состоит из дорог, предназначенных не для скоростного движения. В таблице приведен перечень и характеристика дорог местного значения. Большинство дорог общего пользования местного значения имеют щебеночное и грунтовое покрытие. Содержание автомобильных дорог местного значения  осуществляется  Администрацией СП «</w:t>
      </w:r>
      <w:r w:rsidR="00BA1164" w:rsidRPr="00BA1164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BA1164" w:rsidRPr="00BA1164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        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E41C0C" w:rsidRPr="00E41C0C" w:rsidRDefault="00E41C0C" w:rsidP="00E41C0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   Общая протяжённость дорожной сети составляет </w:t>
      </w:r>
      <w:r w:rsidR="00BA1164">
        <w:rPr>
          <w:rFonts w:ascii="Times New Roman" w:eastAsia="Calibri" w:hAnsi="Times New Roman" w:cs="Times New Roman"/>
          <w:bCs/>
          <w:sz w:val="24"/>
          <w:szCs w:val="24"/>
        </w:rPr>
        <w:t>10,1</w:t>
      </w: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км. Почти все дороги требуют ямочного  и капитального ремонта.  Характеристика автомобильных дорог дана в таблице.</w:t>
      </w:r>
    </w:p>
    <w:p w:rsidR="00486286" w:rsidRPr="007F65D1" w:rsidRDefault="00E41C0C" w:rsidP="007F65D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Хранение автотранспорта на территории поселения осуществляется, в основном, в  пределах участков предприятий и на придомовых участках жителей поселения. </w:t>
      </w:r>
      <w:bookmarkEnd w:id="0"/>
    </w:p>
    <w:p w:rsidR="003B5D14" w:rsidRPr="003B5D14" w:rsidRDefault="003B5D14" w:rsidP="003B5D14">
      <w:pPr>
        <w:suppressAutoHyphens/>
        <w:spacing w:after="200" w:line="276" w:lineRule="auto"/>
        <w:ind w:left="561" w:right="-272"/>
        <w:jc w:val="center"/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Автодороги  местного значения общего пользования</w:t>
      </w:r>
    </w:p>
    <w:p w:rsidR="003B5D14" w:rsidRPr="003B5D14" w:rsidRDefault="003B5D14" w:rsidP="003B5D14">
      <w:pPr>
        <w:suppressAutoHyphens/>
        <w:spacing w:after="200" w:line="276" w:lineRule="auto"/>
        <w:ind w:left="561" w:right="-272"/>
        <w:jc w:val="center"/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СП «</w:t>
      </w:r>
      <w:r w:rsidR="00BA1164" w:rsidRPr="00BA116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 xml:space="preserve">Деревня </w:t>
      </w:r>
      <w:proofErr w:type="spellStart"/>
      <w:r w:rsidR="00BA1164" w:rsidRPr="00BA116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Шумятино</w:t>
      </w:r>
      <w:proofErr w:type="spellEnd"/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»</w:t>
      </w:r>
    </w:p>
    <w:p w:rsidR="003B5D14" w:rsidRPr="00852388" w:rsidRDefault="00BA1164" w:rsidP="00852388">
      <w:pPr>
        <w:pStyle w:val="a3"/>
        <w:numPr>
          <w:ilvl w:val="0"/>
          <w:numId w:val="8"/>
        </w:numPr>
        <w:suppressAutoHyphens/>
        <w:spacing w:after="200" w:line="276" w:lineRule="auto"/>
        <w:ind w:right="-272"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д</w:t>
      </w:r>
      <w:proofErr w:type="gram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.А</w:t>
      </w:r>
      <w:proofErr w:type="gram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лехново</w:t>
      </w:r>
      <w:r w:rsidR="003B5D14" w:rsidRPr="00852388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.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–         </w:t>
      </w: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0,8 км          грунт</w:t>
      </w:r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Бородухино</w:t>
      </w:r>
      <w:proofErr w:type="spell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   1,9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proofErr w:type="spellStart"/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км</w:t>
      </w:r>
      <w:r w:rsidR="0042723D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грунт</w:t>
      </w:r>
      <w:proofErr w:type="spellEnd"/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Величково</w:t>
      </w:r>
      <w:proofErr w:type="spellEnd"/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</w:t>
      </w: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грунт</w:t>
      </w:r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п.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Игнатьевское</w:t>
      </w:r>
      <w:proofErr w:type="spell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с.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Карижа</w:t>
      </w:r>
      <w:proofErr w:type="spell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    0,5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gram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Панское</w:t>
      </w:r>
      <w:proofErr w:type="gram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   1,5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Шубинка</w:t>
      </w:r>
      <w:proofErr w:type="spellEnd"/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</w:t>
      </w: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1,5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proofErr w:type="spellStart"/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грунт</w:t>
      </w:r>
      <w:proofErr w:type="spellEnd"/>
    </w:p>
    <w:p w:rsidR="003B5D14" w:rsidRPr="003B5D14" w:rsidRDefault="00BA1164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Шумятино</w:t>
      </w:r>
      <w:proofErr w:type="spell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грунт</w:t>
      </w:r>
    </w:p>
    <w:p w:rsidR="00562755" w:rsidRDefault="00BA1164" w:rsidP="00BA116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Терентьево</w:t>
      </w:r>
      <w:proofErr w:type="spell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грунт</w:t>
      </w:r>
    </w:p>
    <w:p w:rsidR="00BA1164" w:rsidRPr="00BA1164" w:rsidRDefault="00BA1164" w:rsidP="00BA1164">
      <w:pPr>
        <w:suppressAutoHyphens/>
        <w:spacing w:after="200" w:line="276" w:lineRule="auto"/>
        <w:ind w:left="1211"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</w:p>
    <w:p w:rsidR="00E41C0C" w:rsidRPr="007F65D1" w:rsidRDefault="003B5D14" w:rsidP="007F65D1">
      <w:pPr>
        <w:suppressAutoHyphens/>
        <w:spacing w:after="200" w:line="276" w:lineRule="auto"/>
        <w:ind w:right="-272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 xml:space="preserve">                                           Всего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10,1</w:t>
      </w:r>
      <w:r w:rsidR="007F65D1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</w:p>
    <w:p w:rsidR="00E41C0C" w:rsidRPr="00E41C0C" w:rsidRDefault="00E41C0C" w:rsidP="00E41C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4.1. Оценка уровня негативного воздействия транспортной инфраструктуры на окружающую среду, безопасность и здоровье человека.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br/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Факторы, неблагоприятно влияющие на окружающую среду и здоровье: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iCs/>
          <w:sz w:val="24"/>
          <w:szCs w:val="24"/>
          <w:lang w:eastAsia="ar-SA"/>
        </w:rPr>
        <w:t>Загрязнение атмосферы</w:t>
      </w:r>
      <w:r w:rsidRPr="00E41C0C"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  <w:t>.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Выброс в воздух дыма и газообразных загрязняющих веществ (</w:t>
      </w:r>
      <w:proofErr w:type="spellStart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диоксин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азота и серы, озон) приводят не только к загрязнению атмосферы, но и к вредным проявлениям для здоровья, особенно к респираторным аллергическим заболеваниям.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iCs/>
          <w:sz w:val="24"/>
          <w:szCs w:val="24"/>
          <w:lang w:eastAsia="ar-SA"/>
        </w:rPr>
        <w:t>Воздействие шума.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4.2. Оценка нормативно-правовой базы, необходимой 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   для функционирования и развитие </w:t>
      </w: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транспортной системы поселения.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br/>
      </w:r>
    </w:p>
    <w:p w:rsid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562755" w:rsidRPr="00E41C0C" w:rsidRDefault="00562755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1. Градостроительный кодекс РФ от 29.12.2004г. №190-ФЗ (ред. от 30.12.2015г.);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3. Федеральный закон от 10.12.1995г. №196-ФЗ (ред. от 28.11.2015г.) «О безопасности дорожного движения»;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4. Постановление Правительства РФ от 23.10.1993г. №1090 (ред. от 21.01.2016г) «О правилах дорожного движения»;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6. Генеральный план  сельского поселения «</w:t>
      </w:r>
      <w:r w:rsidR="00B31E1F" w:rsidRPr="00B31E1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sz w:val="24"/>
          <w:szCs w:val="24"/>
          <w:lang w:eastAsia="ar-SA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».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Основные цели и задачи, сроки и этапы реализации  Программы</w:t>
      </w:r>
    </w:p>
    <w:p w:rsidR="00852388" w:rsidRPr="00E41C0C" w:rsidRDefault="00852388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pacing w:after="0" w:line="276" w:lineRule="auto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41C0C">
        <w:rPr>
          <w:rFonts w:ascii="Times New Roman" w:eastAsia="Arial" w:hAnsi="Times New Roman" w:cs="Times New Roman"/>
          <w:sz w:val="24"/>
          <w:szCs w:val="24"/>
          <w:lang/>
        </w:rPr>
        <w:t xml:space="preserve">Основной целью Программы является создание условий для приведения объектов </w:t>
      </w:r>
      <w:r w:rsidRPr="00E41C0C">
        <w:rPr>
          <w:rFonts w:ascii="Times New Roman" w:eastAsia="Arial" w:hAnsi="Times New Roman" w:cs="Times New Roman"/>
          <w:sz w:val="24"/>
          <w:szCs w:val="24"/>
        </w:rPr>
        <w:t>транспортной</w:t>
      </w:r>
      <w:r w:rsidRPr="00E41C0C">
        <w:rPr>
          <w:rFonts w:ascii="Times New Roman" w:eastAsia="Arial" w:hAnsi="Times New Roman" w:cs="Times New Roman"/>
          <w:sz w:val="24"/>
          <w:szCs w:val="24"/>
          <w:lang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 w:rsidRPr="00E41C0C">
        <w:rPr>
          <w:rFonts w:ascii="Times New Roman" w:eastAsia="Arial" w:hAnsi="Times New Roman" w:cs="Times New Roman"/>
          <w:sz w:val="24"/>
          <w:szCs w:val="24"/>
        </w:rPr>
        <w:t xml:space="preserve">на территории   сельского </w:t>
      </w:r>
      <w:r w:rsidRPr="00E41C0C">
        <w:rPr>
          <w:rFonts w:ascii="Times New Roman" w:eastAsia="Arial" w:hAnsi="Times New Roman" w:cs="Times New Roman"/>
          <w:sz w:val="24"/>
          <w:szCs w:val="24"/>
          <w:lang/>
        </w:rPr>
        <w:t xml:space="preserve"> поселени</w:t>
      </w:r>
      <w:r w:rsidRPr="00E41C0C">
        <w:rPr>
          <w:rFonts w:ascii="Times New Roman" w:eastAsia="Arial" w:hAnsi="Times New Roman" w:cs="Times New Roman"/>
          <w:sz w:val="24"/>
          <w:szCs w:val="24"/>
        </w:rPr>
        <w:t>я «</w:t>
      </w:r>
      <w:r w:rsidR="00B31E1F" w:rsidRPr="00B31E1F">
        <w:rPr>
          <w:rFonts w:ascii="Times New Roman" w:eastAsia="Arial" w:hAnsi="Times New Roman" w:cs="Times New Roman"/>
          <w:sz w:val="24"/>
          <w:szCs w:val="24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</w:rPr>
        <w:t>»</w:t>
      </w:r>
      <w:r w:rsidRPr="00E41C0C">
        <w:rPr>
          <w:rFonts w:ascii="Times New Roman" w:eastAsia="Arial" w:hAnsi="Times New Roman" w:cs="Times New Roman"/>
          <w:sz w:val="24"/>
          <w:szCs w:val="24"/>
          <w:lang/>
        </w:rPr>
        <w:t>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F65D1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F65D1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F65D1" w:rsidRPr="00E41C0C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5.1 </w:t>
      </w:r>
      <w:r w:rsidRPr="00E41C0C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Основные задачи Программы</w:t>
      </w:r>
      <w:r w:rsidR="0085238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br/>
      </w:r>
    </w:p>
    <w:p w:rsidR="00E41C0C" w:rsidRPr="00E41C0C" w:rsidRDefault="00E41C0C" w:rsidP="00E41C0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- ремонт и содержание объектов благоустройства и дорожного хозяйства;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Бюджетные средства, направляемые на реализацию программы, должны быть предназначены для реализации проектов объектов транспортной инфраструктуры и дорожног</w:t>
      </w:r>
      <w:r w:rsidR="002C41ED">
        <w:rPr>
          <w:rFonts w:ascii="Times New Roman" w:eastAsia="Arial" w:hAnsi="Times New Roman" w:cs="Times New Roman"/>
          <w:sz w:val="24"/>
          <w:szCs w:val="24"/>
          <w:lang w:eastAsia="ar-SA"/>
        </w:rPr>
        <w:t>о хозяйства</w:t>
      </w: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5.2.Сроки и этапы реализации программы</w:t>
      </w:r>
    </w:p>
    <w:p w:rsidR="00852388" w:rsidRPr="00E41C0C" w:rsidRDefault="00852388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Срок действия программы 2017 – 2025 годы.  Реализация программы будет осуществляться весь период.</w:t>
      </w:r>
    </w:p>
    <w:p w:rsidR="00E41C0C" w:rsidRDefault="00E41C0C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Pr="00E41C0C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6. Мероприятия по развитию системы транспортной инфраструктуры, целевые индикаторы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6.1. Общие положения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Основными факторами, определяющими направления разработки Программы, являются: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 за счет пребывания населения в дачный летний период, развитием рынка жилья, сфер обслуживания и промышленности;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E41C0C">
        <w:rPr>
          <w:rFonts w:ascii="Times New Roman" w:eastAsia="Calibri" w:hAnsi="Times New Roman" w:cs="Times New Roman"/>
          <w:sz w:val="24"/>
          <w:szCs w:val="24"/>
        </w:rPr>
        <w:t>состояние существующей системы  транспортной инфраструктуры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Разработанные программные мероприятия систематизированы по степени их актуальности. 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Источниками финансирования мероприятий Программы являются средства бюджета  района и области</w:t>
      </w:r>
      <w:r w:rsidRPr="00E41C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, 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внебюджетные источники. 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1C0C" w:rsidRDefault="00E41C0C" w:rsidP="00E41C0C">
      <w:pPr>
        <w:numPr>
          <w:ilvl w:val="1"/>
          <w:numId w:val="7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Система дорожной деятельности</w:t>
      </w:r>
    </w:p>
    <w:p w:rsidR="00BD6909" w:rsidRPr="00E41C0C" w:rsidRDefault="00BD6909" w:rsidP="00BD6909">
      <w:pPr>
        <w:spacing w:after="0" w:line="276" w:lineRule="auto"/>
        <w:ind w:left="2215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56275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Основные целевые индикаторы реализации мероприятий Программы:</w:t>
      </w:r>
    </w:p>
    <w:p w:rsidR="00E41C0C" w:rsidRPr="00E41C0C" w:rsidRDefault="00E41C0C" w:rsidP="00E41C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Содержан</w:t>
      </w:r>
      <w:r w:rsidR="002C41ED">
        <w:rPr>
          <w:rFonts w:ascii="Times New Roman" w:eastAsia="Calibri" w:hAnsi="Times New Roman" w:cs="Times New Roman"/>
          <w:sz w:val="24"/>
          <w:szCs w:val="24"/>
        </w:rPr>
        <w:t xml:space="preserve">ие дорог в требуемом </w:t>
      </w:r>
      <w:bookmarkStart w:id="1" w:name="_GoBack"/>
      <w:bookmarkEnd w:id="1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состоянии;</w:t>
      </w:r>
    </w:p>
    <w:p w:rsidR="00E41C0C" w:rsidRPr="00E41C0C" w:rsidRDefault="00E41C0C" w:rsidP="00E41C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Обеспечение безопасности дорожного движения.</w:t>
      </w:r>
    </w:p>
    <w:p w:rsidR="00E41C0C" w:rsidRPr="00E41C0C" w:rsidRDefault="00E41C0C" w:rsidP="00E41C0C">
      <w:pPr>
        <w:spacing w:after="0" w:line="276" w:lineRule="auto"/>
        <w:ind w:left="121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6.3. Механизм реализации  Программы и </w:t>
      </w:r>
      <w:proofErr w:type="gramStart"/>
      <w:r w:rsidRPr="00E41C0C">
        <w:rPr>
          <w:rFonts w:ascii="Times New Roman" w:eastAsia="Calibri" w:hAnsi="Times New Roman" w:cs="Times New Roman"/>
          <w:b/>
          <w:sz w:val="24"/>
          <w:szCs w:val="24"/>
        </w:rPr>
        <w:t>контроль за</w:t>
      </w:r>
      <w:proofErr w:type="gramEnd"/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 ходом ее выполнения</w:t>
      </w:r>
    </w:p>
    <w:p w:rsidR="00E41C0C" w:rsidRP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Администрацией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Для решения задач Программы предполагается использовать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средства </w:t>
      </w:r>
      <w:r w:rsidR="007F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и областного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 реализации данной Программы в соответствии со стратегическими приоритетами развития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Исполнителями Программы являются администрация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86286" w:rsidRPr="00E41C0C" w:rsidRDefault="00E41C0C" w:rsidP="0032544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Программе и сроки ее реализации, а также объемы финансирования из </w:t>
      </w:r>
      <w:r w:rsidR="0032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и областного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могут быть пересмотрены </w:t>
      </w:r>
      <w:r w:rsidR="003254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бюджета на очередной финансовый год.</w:t>
      </w: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7. Оценка эффективности реализации Программы</w:t>
      </w:r>
      <w:r w:rsidR="00C151CC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852388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</w:p>
    <w:p w:rsidR="00C151CC" w:rsidRDefault="00C151C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86286" w:rsidRDefault="00486286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8.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</w:t>
      </w:r>
      <w:r w:rsidR="0032544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выполнения работ по содержанию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зависит напрямую от объемов финансирования. 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 зимнего - летнего содержания дорог.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9. Мероприятия по развитию сети дорог сельского поселения «</w:t>
      </w:r>
      <w:r w:rsidR="00B31E1F" w:rsidRPr="00B31E1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».</w:t>
      </w:r>
    </w:p>
    <w:p w:rsidR="00C151CC" w:rsidRPr="00E41C0C" w:rsidRDefault="00C151C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D6909" w:rsidRPr="00B31E1F" w:rsidRDefault="00E41C0C" w:rsidP="00B31E1F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BD6909" w:rsidRDefault="00BD6909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ПЕРЕЧЕНЬ</w:t>
      </w:r>
    </w:p>
    <w:p w:rsidR="00BD6909" w:rsidRPr="00E41C0C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 </w:t>
      </w:r>
      <w:r w:rsidR="00C151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</w: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сельского поселения «</w:t>
      </w:r>
      <w:r w:rsidR="00B31E1F" w:rsidRPr="00B31E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Деревня </w:t>
      </w:r>
      <w:proofErr w:type="spellStart"/>
      <w:r w:rsidR="00B31E1F" w:rsidRPr="00B31E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6909" w:rsidRPr="00E41C0C" w:rsidRDefault="00BD6909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3597"/>
        <w:gridCol w:w="1606"/>
        <w:gridCol w:w="1252"/>
        <w:gridCol w:w="2462"/>
      </w:tblGrid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программных мероприятий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654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Ответственный за реализацию мероприятия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2017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2019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2020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2021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2022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2023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C5EDE" w:rsidRPr="00E41C0C" w:rsidRDefault="00AC5EDE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2024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2025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</w:tbl>
    <w:p w:rsidR="007038C8" w:rsidRDefault="007038C8"/>
    <w:sectPr w:rsidR="007038C8" w:rsidSect="0036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8D71664"/>
    <w:multiLevelType w:val="hybridMultilevel"/>
    <w:tmpl w:val="7A6E328C"/>
    <w:lvl w:ilvl="0" w:tplc="AB46165A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26B77"/>
    <w:multiLevelType w:val="multilevel"/>
    <w:tmpl w:val="24B6CB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430"/>
        </w:tabs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285"/>
        </w:tabs>
        <w:ind w:left="6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00"/>
        </w:tabs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355"/>
        </w:tabs>
        <w:ind w:left="10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70"/>
        </w:tabs>
        <w:ind w:left="12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25"/>
        </w:tabs>
        <w:ind w:left="14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640"/>
        </w:tabs>
        <w:ind w:left="16640" w:hanging="1800"/>
      </w:pPr>
      <w:rPr>
        <w:rFonts w:hint="default"/>
      </w:rPr>
    </w:lvl>
  </w:abstractNum>
  <w:abstractNum w:abstractNumId="4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41C0C"/>
    <w:rsid w:val="00001EFA"/>
    <w:rsid w:val="002C41ED"/>
    <w:rsid w:val="00325445"/>
    <w:rsid w:val="0036197F"/>
    <w:rsid w:val="00394487"/>
    <w:rsid w:val="003B5D14"/>
    <w:rsid w:val="0042723D"/>
    <w:rsid w:val="00486286"/>
    <w:rsid w:val="00562755"/>
    <w:rsid w:val="00565F4C"/>
    <w:rsid w:val="00652EAD"/>
    <w:rsid w:val="007038C8"/>
    <w:rsid w:val="0073570E"/>
    <w:rsid w:val="007F65D1"/>
    <w:rsid w:val="00852388"/>
    <w:rsid w:val="008606A1"/>
    <w:rsid w:val="009E1E11"/>
    <w:rsid w:val="00A406C4"/>
    <w:rsid w:val="00AC5EDE"/>
    <w:rsid w:val="00B11E34"/>
    <w:rsid w:val="00B31E1F"/>
    <w:rsid w:val="00B954C5"/>
    <w:rsid w:val="00BA1164"/>
    <w:rsid w:val="00BD6909"/>
    <w:rsid w:val="00C151CC"/>
    <w:rsid w:val="00C35E94"/>
    <w:rsid w:val="00E33B40"/>
    <w:rsid w:val="00E41C0C"/>
    <w:rsid w:val="00EA6C89"/>
    <w:rsid w:val="00F63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3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E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3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57B40-67E1-4ED5-AAEC-656E6A38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cp:lastPrinted>2017-10-24T06:58:00Z</cp:lastPrinted>
  <dcterms:created xsi:type="dcterms:W3CDTF">2017-10-24T11:07:00Z</dcterms:created>
  <dcterms:modified xsi:type="dcterms:W3CDTF">2017-10-24T11:07:00Z</dcterms:modified>
</cp:coreProperties>
</file>