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88" w:rsidRPr="0088040B" w:rsidRDefault="00986988" w:rsidP="009869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040B">
        <w:rPr>
          <w:rFonts w:ascii="Times New Roman" w:hAnsi="Times New Roman" w:cs="Times New Roman"/>
          <w:sz w:val="28"/>
          <w:szCs w:val="28"/>
        </w:rPr>
        <w:t>Приложение</w:t>
      </w:r>
    </w:p>
    <w:p w:rsidR="00986988" w:rsidRPr="0088040B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040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86988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986988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Default="00986988" w:rsidP="0098698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29.09.2017 г. № 30</w:t>
      </w:r>
    </w:p>
    <w:p w:rsidR="00986988" w:rsidRPr="00986988" w:rsidRDefault="00986988" w:rsidP="0098698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Методика</w:t>
      </w: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поступлений</w:t>
      </w:r>
      <w:r w:rsidRPr="00DB11AF">
        <w:rPr>
          <w:rFonts w:ascii="Times New Roman" w:hAnsi="Times New Roman" w:cs="Times New Roman"/>
          <w:sz w:val="28"/>
          <w:szCs w:val="28"/>
        </w:rPr>
        <w:t xml:space="preserve"> доходов </w:t>
      </w: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E35349">
      <w:pPr>
        <w:pStyle w:val="ConsPlusNormal"/>
        <w:numPr>
          <w:ilvl w:val="0"/>
          <w:numId w:val="7"/>
        </w:num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параметры прогнозирования поступлений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>далее - Методика)</w:t>
      </w:r>
      <w:r>
        <w:rPr>
          <w:rFonts w:ascii="Times New Roman" w:hAnsi="Times New Roman" w:cs="Times New Roman"/>
          <w:sz w:val="28"/>
          <w:szCs w:val="28"/>
        </w:rPr>
        <w:t xml:space="preserve">, главным администратором которых является администрация 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применяется для расчета прогнозного объема поступлений по кодам классификации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 xml:space="preserve">далее – прогнозный объем поступлений) при составлении проекта решения о 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и проекта решения о внесении изменений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определяет расчет прогнозных назначений платежей, нормативные правовые акты, являющиеся основанием для администрирования платежей. </w:t>
      </w:r>
    </w:p>
    <w:p w:rsidR="00A91F8D" w:rsidRPr="00DB11AF" w:rsidRDefault="00A91F8D" w:rsidP="00E35349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ab/>
        <w:t>Для расчета прогнозного объема поступлений применяются:</w:t>
      </w:r>
    </w:p>
    <w:p w:rsidR="00A91F8D" w:rsidRPr="00DB11AF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 прямого расчета (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наоснованиидействующих</w:t>
      </w:r>
      <w:proofErr w:type="spellEnd"/>
      <w:r w:rsidRPr="00DB11AF">
        <w:rPr>
          <w:rFonts w:ascii="Times New Roman" w:hAnsi="Times New Roman" w:cs="Times New Roman"/>
          <w:sz w:val="28"/>
          <w:szCs w:val="28"/>
        </w:rPr>
        <w:t xml:space="preserve"> договоров, соглашений и т.д.);</w:t>
      </w:r>
    </w:p>
    <w:p w:rsidR="00A91F8D" w:rsidRPr="00BD1EC2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усредненный расчет, осуществляемый на основании усреднения годовых объемов </w:t>
      </w:r>
      <w:r w:rsidRPr="00BD1EC2">
        <w:rPr>
          <w:rFonts w:ascii="Times New Roman" w:hAnsi="Times New Roman" w:cs="Times New Roman"/>
          <w:sz w:val="28"/>
          <w:szCs w:val="28"/>
        </w:rPr>
        <w:t>доходов по предшествующему периоду.</w:t>
      </w:r>
    </w:p>
    <w:p w:rsidR="00A91F8D" w:rsidRPr="00DB11AF" w:rsidRDefault="00A91F8D" w:rsidP="00E3534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165B0F">
      <w:pPr>
        <w:pStyle w:val="ConsPlusNormal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2. Сокращения, применяемые в алгоритмах расчетов прогнозируемых объемов поступлений доходов </w:t>
      </w:r>
      <w:proofErr w:type="spellStart"/>
      <w:r w:rsidRPr="001F507C">
        <w:rPr>
          <w:rFonts w:ascii="Times New Roman" w:hAnsi="Times New Roman" w:cs="Times New Roman"/>
          <w:b/>
          <w:sz w:val="28"/>
          <w:szCs w:val="28"/>
        </w:rPr>
        <w:t>бюджетасельского</w:t>
      </w:r>
      <w:proofErr w:type="spellEnd"/>
      <w:r w:rsidRPr="001F507C">
        <w:rPr>
          <w:rFonts w:ascii="Times New Roman" w:hAnsi="Times New Roman" w:cs="Times New Roman"/>
          <w:b/>
          <w:sz w:val="28"/>
          <w:szCs w:val="28"/>
        </w:rPr>
        <w:t xml:space="preserve"> поселения «Деревня </w:t>
      </w:r>
      <w:proofErr w:type="spellStart"/>
      <w:r w:rsidRPr="001F507C">
        <w:rPr>
          <w:rFonts w:ascii="Times New Roman" w:hAnsi="Times New Roman" w:cs="Times New Roman"/>
          <w:b/>
          <w:sz w:val="28"/>
          <w:szCs w:val="28"/>
        </w:rPr>
        <w:t>Шумятино</w:t>
      </w:r>
      <w:proofErr w:type="spellEnd"/>
      <w:r w:rsidRPr="001F507C">
        <w:rPr>
          <w:rFonts w:ascii="Times New Roman" w:hAnsi="Times New Roman" w:cs="Times New Roman"/>
          <w:b/>
          <w:sz w:val="28"/>
          <w:szCs w:val="28"/>
        </w:rPr>
        <w:t>».</w:t>
      </w:r>
    </w:p>
    <w:p w:rsidR="00A91F8D" w:rsidRPr="00165B0F" w:rsidRDefault="00A91F8D" w:rsidP="00165B0F">
      <w:pPr>
        <w:pStyle w:val="ConsPlusNormal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151"/>
      </w:tblGrid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Государственная пошлина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OLE_LINK54"/>
            <w:bookmarkStart w:id="2" w:name="OLE_LINK55"/>
            <w:bookmarkStart w:id="3" w:name="OLE_LINK56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Дзсп</w:t>
            </w:r>
            <w:bookmarkEnd w:id="1"/>
            <w:bookmarkEnd w:id="2"/>
            <w:bookmarkEnd w:id="3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4" w:name="OLE_LINK51"/>
            <w:bookmarkStart w:id="5" w:name="OLE_LINK52"/>
            <w:bookmarkStart w:id="6" w:name="OLE_LINK53"/>
            <w:proofErr w:type="gramStart"/>
            <w:r w:rsidRPr="0044785A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bookmarkEnd w:id="4"/>
            <w:bookmarkEnd w:id="5"/>
            <w:bookmarkEnd w:id="6"/>
            <w:proofErr w:type="gramEnd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7" w:name="OLE_LINK61"/>
            <w:bookmarkStart w:id="8" w:name="OLE_LINK62"/>
            <w:bookmarkStart w:id="9" w:name="OLE_LINK63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Диоу</w:t>
            </w:r>
            <w:bookmarkEnd w:id="7"/>
            <w:bookmarkEnd w:id="8"/>
            <w:bookmarkEnd w:id="9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0" w:name="OLE_LINK57"/>
            <w:bookmarkStart w:id="11" w:name="OLE_LINK58"/>
            <w:r w:rsidRPr="0044785A">
              <w:rPr>
                <w:rFonts w:ascii="Times New Roman" w:hAnsi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44785A">
              <w:rPr>
                <w:rFonts w:ascii="Times New Roman" w:hAnsi="Times New Roman"/>
                <w:sz w:val="28"/>
                <w:szCs w:val="28"/>
              </w:rPr>
              <w:lastRenderedPageBreak/>
              <w:t>имущества муниципальных бюджетных и автономных учреждений)</w:t>
            </w:r>
            <w:bookmarkEnd w:id="10"/>
            <w:bookmarkEnd w:id="11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lastRenderedPageBreak/>
              <w:t>Пкз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OLE_LINK64"/>
            <w:bookmarkStart w:id="13" w:name="OLE_LINK65"/>
            <w:bookmarkStart w:id="14" w:name="OLE_LINK66"/>
            <w:r w:rsidRPr="0044785A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  <w:bookmarkEnd w:id="12"/>
            <w:bookmarkEnd w:id="13"/>
            <w:bookmarkEnd w:id="14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Риос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5" w:name="OLE_LINK47"/>
            <w:bookmarkStart w:id="16" w:name="OLE_LINK48"/>
            <w:bookmarkStart w:id="17" w:name="OLE_LINK49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bookmarkEnd w:id="15"/>
            <w:bookmarkEnd w:id="16"/>
            <w:bookmarkEnd w:id="17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Римз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8" w:name="OLE_LINK45"/>
            <w:bookmarkStart w:id="19" w:name="OLE_LINK46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bookmarkEnd w:id="18"/>
            <w:bookmarkEnd w:id="19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Дпзу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Дв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Поступления от денежных взысканий, штрафов и иных сумм в возмещение ущерба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Пнн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БВП</w:t>
            </w:r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</w:tbl>
    <w:p w:rsidR="00A91F8D" w:rsidRPr="002937A3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 Расчет прогнозного объема поступлений доходов бюджета на соответствующий финансовый год.</w:t>
      </w:r>
    </w:p>
    <w:p w:rsidR="00A91F8D" w:rsidRPr="001F507C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3.1. Государственная пошлина (КБК 00310804020011000110, 00310804020014000110,00310807175010000110, 00310807175011000110, 00310807175014000110).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учитывается объем поступлений за год, предшествующий текущему году, динамика поступлений в текущем году по сравнению с отчетным годом, дополнительные (выпадающие) доходы по госпошлине в прогнозируемом году, связанные с изменениями налогового и бюджетного законодательства. Применяется метод – усреднение.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(Ф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Кт) + Д, где: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 - фактические поступления госпошлины в бюджет сельского поселения в отчетном году;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lastRenderedPageBreak/>
        <w:t>Кт - коэффициент, характеризующий динамику поступлений в текущем году по сравнению с отчетным годом;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 - дополнительные (выпадающие) доходы по госпошлине в прогнозируемом году, связанные с изменениями налогового и бюджетного законодательства.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3.2. </w:t>
      </w:r>
      <w:proofErr w:type="gramStart"/>
      <w:r w:rsidRPr="001F507C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 (КБК 00311105025100000120). </w:t>
      </w:r>
      <w:proofErr w:type="gramEnd"/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учитывается объем начисленных платежей по арендной плате за земельные участки, находящиеся в собственности поселения, в соответствии со ставками на прогнозируемый финансовый год; объем средств от продажи права на заключение договоров аренды земли, находящейся в собственности поселения; коэффициент индексации базовой ставки;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договоров.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Дзсп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начисленных платежей по арендной плате, объем средств от продажи права на заключение договоров аренды в соответствии со ставками на прогнозируемый финансовый год;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га земли;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договоров, и др.</w:t>
      </w:r>
      <w:proofErr w:type="gramEnd"/>
    </w:p>
    <w:p w:rsidR="00A91F8D" w:rsidRPr="001F507C" w:rsidRDefault="00A91F8D" w:rsidP="001F507C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(КБК 00311105035100000120).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учитывается объем начисленных платежей по арендной плате, по доверительному управлению недвижимым имуществом; коэффициент индексации базовой ставки; оценка выпадающих (дополнительных) доходов от сдачи в аренду имущества в </w:t>
      </w:r>
      <w:r w:rsidRPr="002937A3">
        <w:rPr>
          <w:rFonts w:ascii="Times New Roman" w:hAnsi="Times New Roman" w:cs="Times New Roman"/>
          <w:sz w:val="28"/>
          <w:szCs w:val="28"/>
        </w:rPr>
        <w:lastRenderedPageBreak/>
        <w:t>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 Применяется метод – прямой расчет.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E1DA0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Диоу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E1DA0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Нп-сумма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начисленных платежей по арендной плате за недвижимое имущество;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кв. м нежилых помещений;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- оценка выпадающих (дополнительных) доходов от сдачи в аренду имущества, находящегося в муниципальной собственности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3.4. Прочие доходы от компенсации затрат бюджетов сельских поселений (КБК 00311302995100000130).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Прогнозирование прочих доходов от компенсации затрат бюджетов сельских поселений (дебиторской задолженности прошлых лет) осуществляется методом прямого расчета исходя из прогнозируемого по состоянию на 1 января очередного финансового года объема такой дебиторской задолженности, подлежащей возврату в бюджет сельского поселения «Деревня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» в очередном финансовом году.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Пкз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где: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объем дебиторской задолженности прошлых лет,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подлежащая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возврату в очередном финансовом году.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3.5. Доходы от реализации земельных участков и имущества, находящегося в собственности сельского поселения (КБК 00311402053100000410, 00311402053100000440, 00311406025100000430).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учитываются показатели прогнозного плана приватизации муниципального имущества.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Риос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Римз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Дпзу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стоимости оценки имущества, подлежащего приватизации.</w:t>
      </w:r>
    </w:p>
    <w:p w:rsidR="00A91F8D" w:rsidRPr="001F507C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lastRenderedPageBreak/>
        <w:t>3.6. Поступления от денежных взысканий, штрафов и иных сумм в возмещение ущерба (КБК 00311690050100000140).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учитываются суммы поступлений от денежных взысканий, штрафов и иных сумм в возмещение ущерба за текущий финансовый год и за 2 года, предшествующих текущему финансовому году. Применяется метод – усреднение.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n-2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>) / 3, где: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n-2</w:t>
      </w:r>
      <w:r w:rsidRPr="002937A3">
        <w:rPr>
          <w:rFonts w:ascii="Times New Roman" w:hAnsi="Times New Roman" w:cs="Times New Roman"/>
          <w:sz w:val="28"/>
          <w:szCs w:val="28"/>
        </w:rPr>
        <w:t>) -  сумма поступлений от денежных взысканий, штрафов и иных сумм в возмещение ущерба за n-3 (n-2) финансовый год;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 xml:space="preserve"> – удвоенная сумма поступлений от денежных взысканий, штрафов и иных сумм в возмещение ущерба за I полугодие n-1 финансового года.</w:t>
      </w:r>
    </w:p>
    <w:p w:rsidR="00A91F8D" w:rsidRPr="001F507C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3.7. Прочие неналоговые поступления (КБК 00311705050100000180).</w:t>
      </w:r>
    </w:p>
    <w:p w:rsidR="00A91F8D" w:rsidRPr="002937A3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Неналоговые доходы, не имеющие постоянного характера поступлений и установленных ставок, рассчитываются в соответствии с действующими правовыми актами Российской Федерации, муниципальными правовыми актами, с учетом фактического их поступления за отчетный финансовый год.</w:t>
      </w:r>
    </w:p>
    <w:p w:rsidR="00A91F8D" w:rsidRPr="001F507C" w:rsidRDefault="00A91F8D" w:rsidP="00AB3F27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3.8. Безвозмездные поступления от других бюджетов бюджетной системы Российской Федерации (КБК 00320200000000000151).</w:t>
      </w:r>
    </w:p>
    <w:p w:rsidR="00A91F8D" w:rsidRPr="002937A3" w:rsidRDefault="00A91F8D" w:rsidP="00DE1C79">
      <w:pPr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Для расчета прогнозного объема поступлений учитывается объем межбюджетных трансфертов, утвержденный Законом об областном бюджете,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для распределения бюджету сельского поселения «Деревня </w:t>
      </w:r>
      <w:proofErr w:type="spellStart"/>
      <w:r w:rsidRPr="002937A3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  <w:r w:rsidRPr="002937A3">
        <w:rPr>
          <w:rFonts w:ascii="Times New Roman" w:hAnsi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DE1C79">
      <w:pPr>
        <w:spacing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Формула расчета:</w:t>
      </w:r>
    </w:p>
    <w:p w:rsidR="00A91F8D" w:rsidRPr="002937A3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БВП = МБТ, где: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МБТ - объем межбюджетных трансфертов, утвержденный Законом об областном бюджете и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бюджету сельского поселения «Деревня </w:t>
      </w:r>
      <w:proofErr w:type="spellStart"/>
      <w:r w:rsidRPr="002937A3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lastRenderedPageBreak/>
        <w:t>3.9. Возврат остатков субсидий, субвенций и иных межбюджетных трансфертов, имеющих целевое назначение, прошлых лет (КБК 00321960010100000151).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Прогнозирование осуществляется методом прямого расчета исходя из прогнозируемого по состоянию на 1 января очередного финансового года объема неиспользованных целевых средств, подлежащих возврату в очередном финансовом году.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4. Расчет прогнозного объема поступлений доходов бюджета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период.</w:t>
      </w:r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507C">
        <w:rPr>
          <w:rFonts w:ascii="Times New Roman" w:hAnsi="Times New Roman"/>
          <w:sz w:val="28"/>
          <w:szCs w:val="28"/>
        </w:rPr>
        <w:t xml:space="preserve">Прогнозирование доходов бюджета на плановый период осуществляется </w:t>
      </w:r>
      <w:r>
        <w:rPr>
          <w:rFonts w:ascii="Times New Roman" w:hAnsi="Times New Roman"/>
          <w:sz w:val="28"/>
          <w:szCs w:val="28"/>
        </w:rPr>
        <w:t>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 предшествующего планируемому периоду.</w:t>
      </w:r>
    </w:p>
    <w:sectPr w:rsidR="00A91F8D" w:rsidRPr="001F507C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24B5"/>
    <w:rsid w:val="00054710"/>
    <w:rsid w:val="000756E6"/>
    <w:rsid w:val="00086F1E"/>
    <w:rsid w:val="000906BF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2D34AE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C7F32"/>
    <w:rsid w:val="003D1B77"/>
    <w:rsid w:val="003F47B9"/>
    <w:rsid w:val="004000C4"/>
    <w:rsid w:val="00400384"/>
    <w:rsid w:val="00426ED9"/>
    <w:rsid w:val="00436058"/>
    <w:rsid w:val="0044785A"/>
    <w:rsid w:val="004C020A"/>
    <w:rsid w:val="004C1E9F"/>
    <w:rsid w:val="004E30BC"/>
    <w:rsid w:val="004E5A27"/>
    <w:rsid w:val="005247B3"/>
    <w:rsid w:val="005770F3"/>
    <w:rsid w:val="00582243"/>
    <w:rsid w:val="0059775B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86988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91F8D"/>
    <w:rsid w:val="00AB2DEC"/>
    <w:rsid w:val="00AB3F27"/>
    <w:rsid w:val="00AD7FD7"/>
    <w:rsid w:val="00AE1DA0"/>
    <w:rsid w:val="00AF5CFE"/>
    <w:rsid w:val="00AF6E49"/>
    <w:rsid w:val="00B40DA2"/>
    <w:rsid w:val="00B41A56"/>
    <w:rsid w:val="00B608BC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CE0428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012A8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F02631"/>
    <w:rsid w:val="00F11A98"/>
    <w:rsid w:val="00F2461A"/>
    <w:rsid w:val="00F26339"/>
    <w:rsid w:val="00F37E99"/>
    <w:rsid w:val="00F50FD0"/>
    <w:rsid w:val="00F51727"/>
    <w:rsid w:val="00F550D7"/>
    <w:rsid w:val="00F64903"/>
    <w:rsid w:val="00F8643A"/>
    <w:rsid w:val="00F94783"/>
    <w:rsid w:val="00FA0E85"/>
    <w:rsid w:val="00FB4FD4"/>
    <w:rsid w:val="00FB58D3"/>
    <w:rsid w:val="00FC6EAF"/>
    <w:rsid w:val="00FF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hAnsi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2FC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BA2FC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11">
    <w:name w:val="Сетка таблицы1"/>
    <w:uiPriority w:val="99"/>
    <w:rsid w:val="00BA2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BA2FC8"/>
    <w:pPr>
      <w:ind w:left="720"/>
      <w:contextualSpacing/>
    </w:pPr>
  </w:style>
  <w:style w:type="table" w:styleId="a4">
    <w:name w:val="Table Grid"/>
    <w:basedOn w:val="a1"/>
    <w:uiPriority w:val="99"/>
    <w:rsid w:val="00BA2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rsid w:val="006001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0DA2"/>
    <w:rPr>
      <w:rFonts w:ascii="Tahom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hAnsi="Times New Roman"/>
      <w:b/>
      <w:sz w:val="56"/>
      <w:szCs w:val="20"/>
    </w:rPr>
  </w:style>
  <w:style w:type="character" w:styleId="a9">
    <w:name w:val="Hyperlink"/>
    <w:basedOn w:val="a0"/>
    <w:uiPriority w:val="99"/>
    <w:semiHidden/>
    <w:rsid w:val="00DF5BA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A31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Title"/>
    <w:basedOn w:val="a"/>
    <w:link w:val="ab"/>
    <w:uiPriority w:val="99"/>
    <w:qFormat/>
    <w:rsid w:val="00E753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Название Знак"/>
    <w:basedOn w:val="a0"/>
    <w:link w:val="aa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1558</Words>
  <Characters>8886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Redaktor</cp:lastModifiedBy>
  <cp:revision>2</cp:revision>
  <cp:lastPrinted>2017-10-02T05:46:00Z</cp:lastPrinted>
  <dcterms:created xsi:type="dcterms:W3CDTF">2017-10-24T08:39:00Z</dcterms:created>
  <dcterms:modified xsi:type="dcterms:W3CDTF">2017-10-24T08:39:00Z</dcterms:modified>
</cp:coreProperties>
</file>